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B37CA" w:rsidRDefault="00DB7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2"/>
          <w:szCs w:val="32"/>
        </w:rPr>
        <w:t>Информационно-аналитический материал</w:t>
      </w:r>
    </w:p>
    <w:p w14:paraId="00000002" w14:textId="77777777" w:rsidR="002B37CA" w:rsidRDefault="002B3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03" w14:textId="77777777" w:rsidR="002B37CA" w:rsidRDefault="00DB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«СОВРЕМЕННЫЕ ТЕХНОЛОГИИ ДЕСТАБИЛИЗАЦИИ ОБЩЕСТВА»</w:t>
      </w:r>
    </w:p>
    <w:p w14:paraId="00000004" w14:textId="77777777" w:rsidR="002B37CA" w:rsidRDefault="002B37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" w:name="_30j0zll" w:colFirst="0" w:colLast="0"/>
      <w:bookmarkEnd w:id="1"/>
    </w:p>
    <w:p w14:paraId="00000005" w14:textId="77777777" w:rsidR="002B37CA" w:rsidRDefault="002B37CA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6" w14:textId="77777777" w:rsidR="002B37CA" w:rsidRDefault="00DB7EE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ВВЕДЕНИЕ</w:t>
      </w:r>
    </w:p>
    <w:p w14:paraId="00000007" w14:textId="5D5FCE81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Термин «технологии» </w:t>
      </w:r>
      <w:r>
        <w:rPr>
          <w:rFonts w:ascii="Times New Roman" w:eastAsia="Times New Roman" w:hAnsi="Times New Roman" w:cs="Times New Roman"/>
          <w:sz w:val="30"/>
          <w:szCs w:val="30"/>
        </w:rPr>
        <w:t>(от греч.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techne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» – искусство, мастерство, умение;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logos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» – понятие, знание) пришел в политику из производства и обозначает направленное воздействие человека или коллективного субъекта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процессы и объекты с целью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изменения их свойств, придания требуемых качеств.</w:t>
      </w:r>
    </w:p>
    <w:p w14:paraId="00000008" w14:textId="77777777" w:rsidR="002B37CA" w:rsidRDefault="002B3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0A" w14:textId="77777777" w:rsidR="002B37CA" w:rsidRDefault="00DB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ИНФОРМАЦИОННЫЕ ТЕХНОЛОГИИ ДЕСТАБИЛИЗАЦИИ</w:t>
      </w:r>
    </w:p>
    <w:p w14:paraId="0000000B" w14:textId="77777777" w:rsidR="002B37CA" w:rsidRDefault="002B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C" w14:textId="3F82060D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Формы информационного воздействия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весьма разнообразны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многоинструментальны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 Их совокупность позволяет масштабировать деструктивные полити</w:t>
      </w:r>
      <w:r>
        <w:rPr>
          <w:rFonts w:ascii="Times New Roman" w:eastAsia="Times New Roman" w:hAnsi="Times New Roman" w:cs="Times New Roman"/>
          <w:sz w:val="30"/>
          <w:szCs w:val="30"/>
        </w:rPr>
        <w:t>ческие технологии, применяемые сегодня во многих странах мира.</w:t>
      </w:r>
    </w:p>
    <w:p w14:paraId="0000000D" w14:textId="7A2EFCBB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в информационном воздействии на общество применяются комплексы технологий и в белорусском уголовном законодательстве квалифицируются как пропаганда. </w:t>
      </w:r>
    </w:p>
    <w:p w14:paraId="0000000E" w14:textId="10007DBA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этом технол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огии информационного воздействия многообразны и в зависимости от стоящих перед ними задач могут включать такие инструменты, как дискредитацию, отвлечение внимания и ресурсов,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троллинг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модификацию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К числу наиболее часто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применяемых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также относят</w:t>
      </w:r>
      <w:r>
        <w:rPr>
          <w:rFonts w:ascii="Times New Roman" w:eastAsia="Times New Roman" w:hAnsi="Times New Roman" w:cs="Times New Roman"/>
          <w:sz w:val="30"/>
          <w:szCs w:val="30"/>
        </w:rPr>
        <w:t>ся ярлыки, повторы, утверждения, размытие негатива, блокирование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0F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Важнейшим фактором успешной реализации технологий дестабилизации общества на сегодняшний день становится наличие у субъектов современных информационных средств и каналов коммуникац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ии, сочетающих различные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техноэффекты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и пси-эффекты.</w:t>
      </w:r>
    </w:p>
    <w:p w14:paraId="00000010" w14:textId="2E156C5C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30"/>
          <w:szCs w:val="30"/>
        </w:rPr>
        <w:t xml:space="preserve">Среди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техноэффектов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следует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прежде всего выделить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скорость распространения информации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Если информация попала в Интернет, она может быть моментально распространена любым заинтересованным лицом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 теоретически неограниченное количество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интернет-площадок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разного рода (таких как сайты, блоги, форумы и ряд других). </w:t>
      </w:r>
    </w:p>
    <w:p w14:paraId="00000011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Второй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техноэффект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 с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отсутствием границ и расстояний,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поскольку интернет является наднациональной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гиперсетью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2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Третий эффект связ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ан с тем, что информация в интернете может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храниться не ограниченно долго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Это позволяет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дестабилизаторам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существенно экономить силы и ресурсы на поддержание нужного информационного фона. Когда пользователь размещает информацию в Интернете, он зачастую утр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ачивает контроль над ней, даже не осознавая этого. </w:t>
      </w:r>
    </w:p>
    <w:p w14:paraId="00000013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Четвертый связан с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анонимностью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которая технически возможна. Она реализуется при помощи программ, специально предназначенных для прикрытия IP-адресов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анонимайзеры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 По своей сути это прокси-серверы, соз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данные специально для предоставления анонимности в Интернете. </w:t>
      </w:r>
    </w:p>
    <w:p w14:paraId="00000014" w14:textId="7B10E42E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Что касается пси-эффектов, здесь необходимо упомянуть такие как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эффект первого впечатления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Сформированный и впечатанный в сознание масс устойчивый положительный образ политического </w:t>
      </w:r>
      <w:r>
        <w:rPr>
          <w:rFonts w:ascii="Times New Roman" w:eastAsia="Times New Roman" w:hAnsi="Times New Roman" w:cs="Times New Roman"/>
          <w:sz w:val="30"/>
          <w:szCs w:val="30"/>
        </w:rPr>
        <w:t>деятеля способен перевесить выявляемые впоследствии недостатки и негативные качества данного лица. Напротив, черные технологии дискредитации объекта весьма сложно впоследствии опровергнуть.</w:t>
      </w:r>
    </w:p>
    <w:p w14:paraId="00000015" w14:textId="1B7C67E0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Эффект стадности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представляет собой мощную форму группового мышления. Если в мирно пасущемся табуне лошадей испугать 5% особей и «пустить их в бегство», то весь остальной табун сорвется с места; если даже 5% светлячков случайно синхронно вспыхнут, то тут же буд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ет вспышка целого луга. То же самое происходит и у людей. Так, цветную революцию 2011 года в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Египте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фактически сделали пользователи социальной сети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Facebook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которых на тот момент насчитывалось всего 5,5 процентов населения. </w:t>
      </w:r>
    </w:p>
    <w:p w14:paraId="00000016" w14:textId="2197CFAB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Другим психологическим факторо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м, который всегда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стремятся задействовать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дестабилизаторы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является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клиповое мышление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Оно представляет способ восприятия окружающего мира в виде мозаики,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пазлов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когда в сознании формируется яркий, но фрагментарный и кратковременный образ, котор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ый тут же сменяется другими подобными образами. </w:t>
      </w:r>
    </w:p>
    <w:p w14:paraId="00000017" w14:textId="294F108E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Немало</w:t>
      </w:r>
      <w:r w:rsidR="00F22FD3">
        <w:rPr>
          <w:rFonts w:ascii="Times New Roman" w:eastAsia="Times New Roman" w:hAnsi="Times New Roman" w:cs="Times New Roman"/>
          <w:sz w:val="30"/>
          <w:szCs w:val="30"/>
        </w:rPr>
        <w:t xml:space="preserve">важную роль среди пси-эффектов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играет социальность информации, которая преподносится как исходящая непосредственно от людей, а значит – из первых рук. </w:t>
      </w:r>
    </w:p>
    <w:p w14:paraId="00000018" w14:textId="44B73AFF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этом наиболее современные технологии манипулирования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массовым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сознание задействуют именно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визуальный эффект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Этот простой пример показывает несколько важных особенностей формирования нашего мнения и чьей-то репутации. </w:t>
      </w:r>
    </w:p>
    <w:p w14:paraId="00000019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 Как слабо защищен 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аш мозг от манипулирования. </w:t>
      </w:r>
    </w:p>
    <w:p w14:paraId="0000001A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 Очень многое, если не все, зависит от того, какую информацию нам предоставляют.</w:t>
      </w:r>
    </w:p>
    <w:p w14:paraId="0000001B" w14:textId="0E47D030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sz w:val="30"/>
          <w:szCs w:val="30"/>
        </w:rPr>
        <w:t>3.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как следствие – мы (наше мнение) стали очень зависимы от современных каналов передачи информации (Интернет, СМИ, ТВ...), которые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качестве устойчивой практики продуцируют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фейки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дипфейки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C" w14:textId="740A847F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DeepFake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DeepNude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Deep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... – сегодня все чаще слова с данным корнем встречаются на экранах ТВ или в заголовках статей и блогов. Подобный резонанс является следствием наводнения инте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рнета огромным количеством роликов, где политики, бизнесмены, актеры и лидеры общественного мнения допускают высказывания и совершают поступки, на которые в здравом уме они вряд ли решились бы. </w:t>
      </w:r>
    </w:p>
    <w:p w14:paraId="0000001D" w14:textId="102723DD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sz w:val="30"/>
          <w:szCs w:val="30"/>
        </w:rPr>
        <w:t>Необходимо отметить, что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Дипфейк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это не просто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поддельный медиа-контент, а материал, созданный компьютерным алгоритмом из огромного количества медиа-фрагментов. В общем случае это управляемый искусственным интеллектом механизм замещения лица одного человека лицом другого человека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путем машинного обуче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  Данная технология позволяет создать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поддельный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контент неотличимый от оригинала традиционными средствами экспертизы. </w:t>
      </w:r>
    </w:p>
    <w:p w14:paraId="0000001E" w14:textId="2D08662E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sz w:val="30"/>
          <w:szCs w:val="30"/>
        </w:rPr>
        <w:t>Вышеперечисленные технологии и приемы информационного воздействия являются компонентами конкретных направленных операций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деструктивного информационного воздействия, что требует наличия постоянной системы реагирования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F" w14:textId="049C7A9C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Изложенное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ставит вопрос о мерах противодействия и реагирования деструктивным влияниям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К числу первоочередных относятся: мониторинг инф</w:t>
      </w:r>
      <w:r>
        <w:rPr>
          <w:rFonts w:ascii="Times New Roman" w:eastAsia="Times New Roman" w:hAnsi="Times New Roman" w:cs="Times New Roman"/>
          <w:sz w:val="30"/>
          <w:szCs w:val="30"/>
        </w:rPr>
        <w:t>ормационного поля с анализом возможных негативных последствий, реализация мер по минимизации негативных последний информационного воздействия на общество.</w:t>
      </w:r>
      <w:proofErr w:type="gramEnd"/>
    </w:p>
    <w:p w14:paraId="00000020" w14:textId="7EC87DD1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В частности, целями мониторинга информационного поля являются: выявление угроз и возможнос</w:t>
      </w:r>
      <w:r>
        <w:rPr>
          <w:rFonts w:ascii="Times New Roman" w:eastAsia="Times New Roman" w:hAnsi="Times New Roman" w:cs="Times New Roman"/>
          <w:sz w:val="30"/>
          <w:szCs w:val="30"/>
        </w:rPr>
        <w:t>тей, контроль изменений ситуации, изучение тактики действия оппонентов и др. При этом изучаться могут различные элементы: сообщения с их атрибутами; внедренные объекты (ссылки, картинки, файлы); данные по источникам и др.</w:t>
      </w:r>
    </w:p>
    <w:p w14:paraId="00000021" w14:textId="04430F0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Примерный алгоритм анал</w:t>
      </w:r>
      <w:r>
        <w:rPr>
          <w:rFonts w:ascii="Times New Roman" w:eastAsia="Times New Roman" w:hAnsi="Times New Roman" w:cs="Times New Roman"/>
          <w:sz w:val="30"/>
          <w:szCs w:val="30"/>
        </w:rPr>
        <w:t>иза в обобщенном виде может быть представлен ответами на четыре вопроса: Какая тема эксплуатируется? С помощью чего осуществляется воздействие на аудиторию?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Кто является целевой аудиторией? Как можно нейтрализовать деструктивное воздействие?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eastAsia="Times New Roman" w:hAnsi="Times New Roman" w:cs="Times New Roman"/>
          <w:sz w:val="30"/>
          <w:szCs w:val="30"/>
        </w:rPr>
        <w:t>некоторых странах применяется внедрение системы общественного контроля за Интернет-медиа (бдительный гражданин)</w:t>
      </w:r>
      <w:r>
        <w:rPr>
          <w:rFonts w:ascii="Times New Roman" w:eastAsia="Times New Roman" w:hAnsi="Times New Roman" w:cs="Times New Roman"/>
          <w:sz w:val="30"/>
          <w:szCs w:val="30"/>
        </w:rPr>
        <w:t>. Определяющую роль в вопросах мониторинга будет играть использование «умных» систем, позволяющих осуществлять техническую аналитику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22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Недостаточная эффективность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медийного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противодействия деструктивным влияниям связана с рассогласованием между каналами воздействия и аудиторией, на которую ведется трансляция. Так, информационное противоборство со стороны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прогосударственных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сил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осуществляется главным образом через «традиционные» СМИ (печать и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государственные телеканалы), тогда как основная масса протестной аудитории «живет»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Telegram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YouTube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БТ просто не смотрит.</w:t>
      </w:r>
    </w:p>
    <w:p w14:paraId="00000023" w14:textId="72DAF8FD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6" w:name="_3dy6vkm" w:colFirst="0" w:colLast="0"/>
      <w:bookmarkEnd w:id="6"/>
      <w:r>
        <w:rPr>
          <w:rFonts w:ascii="Times New Roman" w:eastAsia="Times New Roman" w:hAnsi="Times New Roman" w:cs="Times New Roman"/>
          <w:sz w:val="30"/>
          <w:szCs w:val="30"/>
        </w:rPr>
        <w:t>Для того, чтобы говорить с аудиторией на «одном языке» необход</w:t>
      </w:r>
      <w:r>
        <w:rPr>
          <w:rFonts w:ascii="Times New Roman" w:eastAsia="Times New Roman" w:hAnsi="Times New Roman" w:cs="Times New Roman"/>
          <w:sz w:val="30"/>
          <w:szCs w:val="30"/>
        </w:rPr>
        <w:t>имо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подстраивание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» под слой «пирамиды потребностей» протестной массы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В частности, государство ставит себе в заслугу то, что им удовлетворены базовые потребности человека (никто не умирает с голову, обеспечена продовольственная безопасность, жи</w:t>
      </w:r>
      <w:r>
        <w:rPr>
          <w:rFonts w:ascii="Times New Roman" w:eastAsia="Times New Roman" w:hAnsi="Times New Roman" w:cs="Times New Roman"/>
          <w:sz w:val="30"/>
          <w:szCs w:val="30"/>
        </w:rPr>
        <w:t>лье и т.п.). В то же время запрос протестующих лежит в другом, более высоком уровне «пирамиды» (потребность в принадлежности к группе, сопричастности, самореализации). «Нестыковка» уровней потребностей влечет за собой разговор «слепого с глухим».</w:t>
      </w:r>
    </w:p>
    <w:p w14:paraId="00000024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Главную р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оль в противодействии современным технологиям дестабилизации является осуществление мониторинговых мероприятий, которые позволяют прогнозировать сценарии развития событий. Комплексное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реагирование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на которые может быть обеспечено за счет совершенствования </w:t>
      </w:r>
      <w:r>
        <w:rPr>
          <w:rFonts w:ascii="Times New Roman" w:eastAsia="Times New Roman" w:hAnsi="Times New Roman" w:cs="Times New Roman"/>
          <w:sz w:val="30"/>
          <w:szCs w:val="30"/>
        </w:rPr>
        <w:t>защитных, упреждающих, в том числе правовых и информационных, мер, нацеленных на выработку в обществе иммунитета против технологий дестабилизации, их нейтрализацию. Здесь необходимо максимальное участие законодательной власти, идеологической вертикали, гос</w:t>
      </w:r>
      <w:r>
        <w:rPr>
          <w:rFonts w:ascii="Times New Roman" w:eastAsia="Times New Roman" w:hAnsi="Times New Roman" w:cs="Times New Roman"/>
          <w:sz w:val="30"/>
          <w:szCs w:val="30"/>
        </w:rPr>
        <w:t>ударственных СМИ, органов и организаций, занимающихся информационным обеспечением государственной политики.</w:t>
      </w:r>
    </w:p>
    <w:p w14:paraId="00000025" w14:textId="77777777" w:rsidR="002B37CA" w:rsidRDefault="002B3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26" w14:textId="77777777" w:rsidR="002B37CA" w:rsidRDefault="00DB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2. СОЦИАЛЬНО-ПСИХОЛОГИЧЕСКИЕ ИНСТРУМЕНТЫ УПРАВЛЕНИЯ МАССОВЫМИ ПРОТЕСТАМИ </w:t>
      </w:r>
    </w:p>
    <w:p w14:paraId="00000027" w14:textId="77777777" w:rsidR="002B37CA" w:rsidRDefault="00DB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(НА ПРИМЕРЕ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БЕЛОРУССКОГО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ИНФОПОЛЯ)</w:t>
      </w:r>
    </w:p>
    <w:p w14:paraId="00000028" w14:textId="68E3D4A1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Мониторинг практических приемов информ</w:t>
      </w:r>
      <w:r>
        <w:rPr>
          <w:rFonts w:ascii="Times New Roman" w:eastAsia="Times New Roman" w:hAnsi="Times New Roman" w:cs="Times New Roman"/>
          <w:sz w:val="30"/>
          <w:szCs w:val="30"/>
        </w:rPr>
        <w:t>ационного воздействия на примере белорусского информационного поля позволяет выделить ряд особенностей и закономерностей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29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,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чтобы тот или иной информационный ресурс «набрал» нужный вес (социальный капитал) и вместе с ним манипуляционный </w:t>
      </w:r>
      <w:r>
        <w:rPr>
          <w:rFonts w:ascii="Times New Roman" w:eastAsia="Times New Roman" w:hAnsi="Times New Roman" w:cs="Times New Roman"/>
          <w:sz w:val="30"/>
          <w:szCs w:val="30"/>
        </w:rPr>
        <w:t>потенциал, реализуется пошаговый алгоритм его «раскрутки», включающий обычно пять-шесть шагов.</w:t>
      </w:r>
    </w:p>
    <w:p w14:paraId="0000002A" w14:textId="32AA246B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7" w:name="_1t3h5sf" w:colFirst="0" w:colLast="0"/>
      <w:bookmarkEnd w:id="7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Шаг первый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создание информационного ресурса. Например,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YouTube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Telegram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-канала, публикующего «инсайды», «сливы», а то и вообще «то, что скрывают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».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Запретное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по-детски привлекательно и обеспечивает ресурсу первый, пока небольшой, круг подписчиков. Канал пока мало кто знает и в таком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полуспящем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» режиме он может функционировать до нескольких лет. </w:t>
      </w:r>
    </w:p>
    <w:p w14:paraId="0000002B" w14:textId="5256BC2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Шаг второй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быстрое расширение аудитории. Выход за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рамки «своих» подписчиков осуществляется за счет публикации громкой новости, желательно криминального характера (в СМИ негатив всегда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больше востребован, чем позитив). Примером может послужить популярный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Telegram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-канал «NEXTA», который резко «поднялся» на </w:t>
      </w:r>
      <w:r>
        <w:rPr>
          <w:rFonts w:ascii="Times New Roman" w:eastAsia="Times New Roman" w:hAnsi="Times New Roman" w:cs="Times New Roman"/>
          <w:sz w:val="30"/>
          <w:szCs w:val="30"/>
        </w:rPr>
        <w:t>публикации фото погибшего могилевского милиционера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Нашлась аудитория (в основном могилевская, как показал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Google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Analytics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), которой интересно посмотреть на труп. Таким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отрабатываются два первых запроса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аудитории, лежащих на уровне прим</w:t>
      </w:r>
      <w:r>
        <w:rPr>
          <w:rFonts w:ascii="Times New Roman" w:eastAsia="Times New Roman" w:hAnsi="Times New Roman" w:cs="Times New Roman"/>
          <w:sz w:val="30"/>
          <w:szCs w:val="30"/>
        </w:rPr>
        <w:t>итивного коллективного сознания – запрос на «запретное» и запрос на «жесть» (кровь, насилие, аварии, ЧП и т.д.). Как результат – резкое увеличение количества подписчиков ресурса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bookmarkStart w:id="8" w:name="_GoBack"/>
      <w:bookmarkEnd w:id="8"/>
    </w:p>
    <w:p w14:paraId="0000002C" w14:textId="36282476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Шаг третий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самый важный – получение доверия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Достига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ется за счет налаживания «обратной связи», когда возможность в один клик переслать ресурсу ту или иную новость создает приятную иллюзию собственной значимости и причастности к «топу». На этом этапе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применяется уже жесткая «привязка»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аудитории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 ресурсу за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счет эксплуатации потребностей более высокого уровня, чем стадные инстинкты. Игра ведется на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неравнодушности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людей, апелляции к несправедливости, стремлении к сопричастности,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активизму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самоорганизации. </w:t>
      </w:r>
    </w:p>
    <w:p w14:paraId="0000002D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некоторых случаях подобные ресурсы становятся свое</w:t>
      </w:r>
      <w:r>
        <w:rPr>
          <w:rFonts w:ascii="Times New Roman" w:eastAsia="Times New Roman" w:hAnsi="Times New Roman" w:cs="Times New Roman"/>
          <w:sz w:val="30"/>
          <w:szCs w:val="30"/>
        </w:rPr>
        <w:t>образным «телефоном доверия», куда люди обращаются в надежде решить беспокоящие их проблемы или поделиться наболевшим. При этом важно заметить, что в ресурсе до данного периода практически отсутствует политическая повестка либо озвучивание интересов конкре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тных сил. Это способствует формированию устойчивой веры аудитории в то, что ресурс представляет ее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интересы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и они делают «общее дело».</w:t>
      </w:r>
    </w:p>
    <w:p w14:paraId="0000002E" w14:textId="7E6B613F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Шаг четвертый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наращивание аудитории и фокусировка сигнала. Реализуется та же тактика, что и на предыдущем этапе (игра на чувстве справедливости и потребности самореализации), однако ресурс выступает уже не ретранслятором сигналов, а их преобразователем. Работает прео</w:t>
      </w:r>
      <w:r>
        <w:rPr>
          <w:rFonts w:ascii="Times New Roman" w:eastAsia="Times New Roman" w:hAnsi="Times New Roman" w:cs="Times New Roman"/>
          <w:sz w:val="30"/>
          <w:szCs w:val="30"/>
        </w:rPr>
        <w:t>бразование сигнала просто: от бытовой проблемы к политической повестке и трансляции интересов определенных сил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2F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Например: «У жителей улицы Иванова проблема: во дворе прорвало канализацию». Далее идет преобразование сигнала, в котором может быть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два варианта: реклама («Для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неповторения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подобных случаев покупайте более прочные трубы фирмы АБВГД») либо политическая повестка: «В вашей проблеме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виноваты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сантехник/ градоначальник/ министр/ правительство/ парламент/ президент» (выбрать нужный шаблон). </w:t>
      </w:r>
    </w:p>
    <w:p w14:paraId="00000030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итоге человек пребывает в уверенности, что: а) его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услышали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и проблема будет решена (потребность в защите и безопасности), б) он приобщился к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топовому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» каналу (потребность в принадлежности к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группе), в) мы видим виноватого, повышая тем самым собственну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ю значимость (потребность в самореализации и признании). </w:t>
      </w:r>
    </w:p>
    <w:p w14:paraId="00000031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Отработана вся «пирамида потребностей» человека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критическое сознание отключено, ресурс становится «народным». С этого момента аудитория превращается в послушный инструмент достижения нужных ресурсу целей. </w:t>
      </w:r>
    </w:p>
    <w:p w14:paraId="00000032" w14:textId="09936F5C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Шаг пятый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целенаправленная работа с общественным сознанием, «якорение» политической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повестки. Инструмент манипуляции остается прежним – преобразование сигнала от бытовых вопросов к политическим.</w:t>
      </w:r>
    </w:p>
    <w:p w14:paraId="00000033" w14:textId="141617C2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Шаг шестой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непосредственное управление. Реализуется через подачу прямых команд: «направо», «налево», «включить», «выключить». Масса людей буде</w:t>
      </w:r>
      <w:r>
        <w:rPr>
          <w:rFonts w:ascii="Times New Roman" w:eastAsia="Times New Roman" w:hAnsi="Times New Roman" w:cs="Times New Roman"/>
          <w:sz w:val="30"/>
          <w:szCs w:val="30"/>
        </w:rPr>
        <w:t>т с воодушевлением двигаться «из пункта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в пункт Б», свято веря в то, что каждый из присутствующих принял это решение самостоятельно, собственным душевным порывом и им никто не управляет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34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После шестого этапа наиболее вероятным сценарием развит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ия ресурса становится его монетизация (продажа или зарабатывание на рекламе). В то же время последующая смена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выгодополучателя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или «хозяина» аудитории – это уже процессы, которые, как правило, остаются «за кадром» для аудитории, а ресурс продолжает работат</w:t>
      </w:r>
      <w:r>
        <w:rPr>
          <w:rFonts w:ascii="Times New Roman" w:eastAsia="Times New Roman" w:hAnsi="Times New Roman" w:cs="Times New Roman"/>
          <w:sz w:val="30"/>
          <w:szCs w:val="30"/>
        </w:rPr>
        <w:t>ь с другими целями и задачами.</w:t>
      </w:r>
    </w:p>
    <w:p w14:paraId="00000037" w14:textId="77777777" w:rsidR="002B37CA" w:rsidRDefault="002B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38" w14:textId="77777777" w:rsidR="002B37CA" w:rsidRDefault="00DB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 ЦВЕТНЫЕ РЕВОЛЮЦИИ: ДЕСТАБИЛИЗАЦИЯ ЧЕРЕЗ «ДЕМОКРАТИЗАЦИЮ»</w:t>
      </w:r>
    </w:p>
    <w:p w14:paraId="00000039" w14:textId="77777777" w:rsidR="002B37CA" w:rsidRDefault="002B3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3A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Цветные революции представляют собой смену власти, осуществленную заинтересованными силами при значительной поддержке населения внутри страны и с широк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им использованием технологий управления массами. В основе цветных революций лежит тезис о необходимости демократизации государства. Курс на демократизацию был взят коллективным Западом во главе с США сразу после распада Советского Союза.  </w:t>
      </w:r>
    </w:p>
    <w:p w14:paraId="0000003B" w14:textId="2E9A3BA1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Админ</w:t>
      </w:r>
      <w:r>
        <w:rPr>
          <w:rFonts w:ascii="Times New Roman" w:eastAsia="Times New Roman" w:hAnsi="Times New Roman" w:cs="Times New Roman"/>
          <w:sz w:val="30"/>
          <w:szCs w:val="30"/>
        </w:rPr>
        <w:t>истрация Билла Клинтона вынесла на повестку дня в 1990-х годах две идеи, заложившие новое видение международных отношений. Во-первых, объявлялась желательность повсеместного продвижения демократии, провозглашенной наилучшей формой государственного устройст</w:t>
      </w:r>
      <w:r>
        <w:rPr>
          <w:rFonts w:ascii="Times New Roman" w:eastAsia="Times New Roman" w:hAnsi="Times New Roman" w:cs="Times New Roman"/>
          <w:sz w:val="30"/>
          <w:szCs w:val="30"/>
        </w:rPr>
        <w:t>ва. Во-вторых, внимание концентрировалось на гуманитарных интервенциях – интервенциях, направленных на обеспечение безопасности затронутых внутренними конфликтами людей. Появившаяся концепция «безопасности человека» предполагает вместе с физической безопас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ностью также и политическую, экономическую, экологическую,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медицинскую, продовольственную и т.д. В конечном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счете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эти идеи переплелись настолько тесно, что стали двумя сторонами одной медали. Декларировалось, что в полной мере «безопасность человека» обесп</w:t>
      </w:r>
      <w:r>
        <w:rPr>
          <w:rFonts w:ascii="Times New Roman" w:eastAsia="Times New Roman" w:hAnsi="Times New Roman" w:cs="Times New Roman"/>
          <w:sz w:val="30"/>
          <w:szCs w:val="30"/>
        </w:rPr>
        <w:t>ечена только при демократическом строе.</w:t>
      </w:r>
    </w:p>
    <w:p w14:paraId="0000003C" w14:textId="6B23D18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Первоначально формой вмешательства США во внутренние дела других государств были интервенции, в рамках которых гуманитарные цели переплетались с политическими. Всего в 1990-е – начале 2000-х годов Вашингто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 под разными предлогами и в разных обстоятельствах осуществил интервенции в Сомали, Гаити, Боснию и Герцеговину, Югославию, Афганистан и Ирак. После вторжения 2003 года в Ирак администрация Джорджа Буша-младшего поставила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амбициозную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цель модернизации Бли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жнего Востока через его демократизацию. В июне 2004 года соответствующую декларацию представили на саммите «Большой восьмерки» под названием «Партнерство во имя прогресса и общего будущего с регионом «расширенного» Ближнего Востока и Северной Африки».  </w:t>
      </w:r>
    </w:p>
    <w:p w14:paraId="0000003D" w14:textId="2895FB5A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Возможность осуществления интервенций под эгидой благородных мотивов прорабатывалась и на международной арене. Вместо разработанных в XX веке теорий суверенитета, строившихся на принципе невмешательства во внутренние дела других государств, предла</w:t>
      </w:r>
      <w:r>
        <w:rPr>
          <w:rFonts w:ascii="Times New Roman" w:eastAsia="Times New Roman" w:hAnsi="Times New Roman" w:cs="Times New Roman"/>
          <w:sz w:val="30"/>
          <w:szCs w:val="30"/>
        </w:rPr>
        <w:t>гается идея «суверенитета как ответственности»</w:t>
      </w:r>
      <w:r>
        <w:rPr>
          <w:rFonts w:ascii="Times New Roman" w:eastAsia="Times New Roman" w:hAnsi="Times New Roman" w:cs="Times New Roman"/>
          <w:sz w:val="30"/>
          <w:szCs w:val="30"/>
        </w:rPr>
        <w:t>. Она продвигается через концепцию «Обязанность защищать» (R2P), принятой Генеральной ассамблеей ООН в 2005 году и окончательно сформулированной в докладе Генерального секретаря Пан Ги Муна от 12 янв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аря 2009 года. </w:t>
      </w:r>
    </w:p>
    <w:p w14:paraId="0000003E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Руководству страны вменяется в обязанность «защищать свое население от геноцида, военных преступлений, этнических чисток и преступлений против человечности». Если оно с этим не справится, то ответственность делегируется международному сообщ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еству, которое должно защитить (через Совет Безопасности и согласно Уставу ООН) находящееся под угрозой население. Внешнее вмешательство во внутренние дела Ливии в 2011 году в западном экспертном сообществе позиционировалось как воплощение R2P в жизнь. </w:t>
      </w:r>
    </w:p>
    <w:p w14:paraId="0000003F" w14:textId="2F98389D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9" w:name="_4d34og8" w:colFirst="0" w:colLast="0"/>
      <w:bookmarkEnd w:id="9"/>
      <w:r>
        <w:rPr>
          <w:rFonts w:ascii="Times New Roman" w:eastAsia="Times New Roman" w:hAnsi="Times New Roman" w:cs="Times New Roman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</w:rPr>
        <w:t>стаивать на переопределении понятия суверенитет стали и в США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Слабеющее государство не может управлять своими гражданами и обеспечивать им то, что государство должно обеспечивать» – утверждал советник по национальной безопасности в администрац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ии Джорджа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Буша-старшего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Брент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Скоукрофт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 Данный тезис нашел свое отражение и в офиц</w:t>
      </w:r>
      <w:r w:rsidR="00F22FD3">
        <w:rPr>
          <w:rFonts w:ascii="Times New Roman" w:eastAsia="Times New Roman" w:hAnsi="Times New Roman" w:cs="Times New Roman"/>
          <w:sz w:val="30"/>
          <w:szCs w:val="30"/>
        </w:rPr>
        <w:t>иальных документах сверхдержавы</w:t>
      </w:r>
      <w:r>
        <w:rPr>
          <w:rFonts w:ascii="Times New Roman" w:eastAsia="Times New Roman" w:hAnsi="Times New Roman" w:cs="Times New Roman"/>
          <w:sz w:val="30"/>
          <w:szCs w:val="30"/>
        </w:rPr>
        <w:t>. В обнародованной в марте 2005 года Национальной оборонной стратегии США указывается на недопустимость использования отдельными 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осударствами принципа суверенитета в качестве оправдания тех действий, которыми они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угрожают собственным гражданам, соседям и международному сообществу.</w:t>
      </w:r>
    </w:p>
    <w:p w14:paraId="00000040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Однако издержки интервенций оказываются слишком высокими. Риски людских и материальных потерь, связанны</w:t>
      </w:r>
      <w:r>
        <w:rPr>
          <w:rFonts w:ascii="Times New Roman" w:eastAsia="Times New Roman" w:hAnsi="Times New Roman" w:cs="Times New Roman"/>
          <w:sz w:val="30"/>
          <w:szCs w:val="30"/>
        </w:rPr>
        <w:t>х с вторжением в другие государства, вызывали споры внутри общества насчет целесообразности интервенций. Нападение на другие страны без согласия международного сообщества, как это было в случае Ирака, провоцирует конфликты не только с традиционными оппонен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тами Вашингтона в лице России и Китая, но и с союзниками по НАТО (Германия, Франция). В свою очередь ответственность за происходящее ложится на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C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ША. Их имидж на международной арене и внутри страны ухудшается, если оказывается, что сверхдержава не способна </w:t>
      </w:r>
      <w:r>
        <w:rPr>
          <w:rFonts w:ascii="Times New Roman" w:eastAsia="Times New Roman" w:hAnsi="Times New Roman" w:cs="Times New Roman"/>
          <w:sz w:val="30"/>
          <w:szCs w:val="30"/>
        </w:rPr>
        <w:t>стабилизировать ситуацию и обеспечить переход подвергшихся интервенции госуда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рств к п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олноценной демократии.</w:t>
      </w:r>
    </w:p>
    <w:p w14:paraId="00000041" w14:textId="63CF2E93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такой ситуации на смену интервенциям пришли цветные революции. Их поддержка стала константой внешней политики коллективного Запада.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Дви</w:t>
      </w:r>
      <w:r>
        <w:rPr>
          <w:rFonts w:ascii="Times New Roman" w:eastAsia="Times New Roman" w:hAnsi="Times New Roman" w:cs="Times New Roman"/>
          <w:sz w:val="30"/>
          <w:szCs w:val="30"/>
        </w:rPr>
        <w:t>жущей силой революций часто были уже не обездоленные и страдающие от нищеты люди, но обеспеченные слои городского населения, притязающее на большее, чем они имеют сейчас. В авангарде революций можно увидеть креативный слой общества, людей с более высоким у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ровнем образования и дохода, молодое поколение, прежде всего, студентов и выпускников вузов, представителей сферы услуг, частного бизнеса, IT-сферы. </w:t>
      </w:r>
    </w:p>
    <w:p w14:paraId="00000042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Помимо апелляций к достоинству и демократии антураж цветных революций состоял и из других элементов.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Наибо</w:t>
      </w:r>
      <w:r>
        <w:rPr>
          <w:rFonts w:ascii="Times New Roman" w:eastAsia="Times New Roman" w:hAnsi="Times New Roman" w:cs="Times New Roman"/>
          <w:sz w:val="30"/>
          <w:szCs w:val="30"/>
        </w:rPr>
        <w:t>лее типичные из них: экономический пессимизм, порождаемый последствиями мировых кризисов, высокий уровень развития информационных технологий, обеспечивающий мобилизацию масс и выход их на улицы, повышенная активность негосударственных структур, «независимы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х» СМИ и лидеров мнения, создававших атмосферу революции, готовность части общества к самоорганизации в борьбе против государства, зрелищность протеста, смешивающие политику с развлечением и притягивающие публику. </w:t>
      </w:r>
      <w:proofErr w:type="gramEnd"/>
    </w:p>
    <w:p w14:paraId="00000043" w14:textId="1E3A9F56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Многочисленные цветные революц</w:t>
      </w:r>
      <w:r>
        <w:rPr>
          <w:rFonts w:ascii="Times New Roman" w:eastAsia="Times New Roman" w:hAnsi="Times New Roman" w:cs="Times New Roman"/>
          <w:sz w:val="30"/>
          <w:szCs w:val="30"/>
        </w:rPr>
        <w:t>ии показали, что свержение правителей, в сущности, мало что меняет. Люди, которых на улицу вывело желание улучшить уровень жизни и достигнуть такого же материального благосостояния, как на Западе, и искренне считавших, что этот процесс тормозят их правител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и, не стали жить лучше. </w:t>
      </w:r>
    </w:p>
    <w:p w14:paraId="00000044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Приведем в качестве примера Египет, где в 2011 году свергли 82-летнего президента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Хосни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Мубарака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 Следующий день после его отставки ознаменовался отменой Конституции и роспуском парламента. К власти пришли военные в лице Высшего со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вета Вооруженных сил. Во главе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находился египетский министр обороны генерал Мухаммед Хусейн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Тантави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по словам американских дипломатов – «твердолобый консерватор, который еще больше, чем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Мубарак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нацелен на сохранение статус-кво». Совет получил практически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неограниченную власть, а серия «переходных» законов предоставила армии, помимо всего прочего, иммунитет от судебного преследования и право вето на «противоречащие высшим интересам страны» положения конституции. Ставшего летом 2012 года президентом предста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вителя «Братьев-мусульман»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Мурси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в июле 2013 года отстранили от власти, а в сентябре 2013 года «Братья-мусульмане» были запрещены. </w:t>
      </w:r>
    </w:p>
    <w:p w14:paraId="00000045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Существует три основных сценария развития страны в постреволюционный период: </w:t>
      </w:r>
    </w:p>
    <w:p w14:paraId="00000046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1) Нивелирование демократических достижений 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возвращение «на круги своя», как это произошло в Египте; </w:t>
      </w:r>
    </w:p>
    <w:p w14:paraId="00000047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2) Затяжной гражданский конфликт и угроза распада целостности страны, примером чему стали Ливия, Сирия и украинский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евромайдан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» 2013–2014 годов.</w:t>
      </w:r>
    </w:p>
    <w:p w14:paraId="00000048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3) Переход к «демократии» либо смена власти в рамках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прежней модели без ощутимых прорывов и прогрессивного развития (украинский майдан 2004 года). </w:t>
      </w:r>
    </w:p>
    <w:p w14:paraId="00000049" w14:textId="27C675B6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0" w:name="_2s8eyo1" w:colFirst="0" w:colLast="0"/>
      <w:bookmarkEnd w:id="10"/>
      <w:r>
        <w:rPr>
          <w:rFonts w:ascii="Times New Roman" w:eastAsia="Times New Roman" w:hAnsi="Times New Roman" w:cs="Times New Roman"/>
          <w:sz w:val="30"/>
          <w:szCs w:val="30"/>
        </w:rPr>
        <w:t xml:space="preserve">Об уровне жизни в странах победивших революций позволяет судить их место в международных рейтингах, наиболее авторитетным из которых является Индекс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человеческого развития ООН. Беларусь в нем в 2019 году заняла 50 позицию, что выше, чем у Болгарии или Румынии,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ставших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на 52 позицию. Страны же, где цветные революции состоялись, далеко отстают от Беларуси. Грузия находится на 70 позиции, Армения – на 81,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Украина – на 88, Кыргызстан – на 122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4A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Таким образом, результаты демократизаций, осуществленных Западом в других государствах, не дают оснований для оптимистичных прогнозов. Вместо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молодых, процветающих и экономически благополучных демократий ми</w:t>
      </w:r>
      <w:r>
        <w:rPr>
          <w:rFonts w:ascii="Times New Roman" w:eastAsia="Times New Roman" w:hAnsi="Times New Roman" w:cs="Times New Roman"/>
          <w:sz w:val="30"/>
          <w:szCs w:val="30"/>
        </w:rPr>
        <w:t>р наблюдает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парад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квазидемократий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 «свободой», но без «экономики». </w:t>
      </w:r>
    </w:p>
    <w:p w14:paraId="0000004B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сегодняшний день «цветные технологии» значительно модифицируются, в том числе за счет информационной, цифровой и социальной составляющей. </w:t>
      </w:r>
    </w:p>
    <w:p w14:paraId="0000004C" w14:textId="75F3BB4C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Примером из современного зарубежного опыта может служить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Гонконгский протест, </w:t>
      </w:r>
      <w:r>
        <w:rPr>
          <w:rFonts w:ascii="Times New Roman" w:eastAsia="Times New Roman" w:hAnsi="Times New Roman" w:cs="Times New Roman"/>
          <w:sz w:val="30"/>
          <w:szCs w:val="30"/>
        </w:rPr>
        <w:t>который является самым высокотехнологичным за последние годы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Эффективным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инструментом масштабирования протестов являлась цифровая среда</w:t>
      </w:r>
      <w:r>
        <w:rPr>
          <w:rFonts w:ascii="Times New Roman" w:eastAsia="Times New Roman" w:hAnsi="Times New Roman" w:cs="Times New Roman"/>
          <w:sz w:val="30"/>
          <w:szCs w:val="30"/>
        </w:rPr>
        <w:t>, ставшая основным пространство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 для продвижения политической повестки. Через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-каналы (пользуются 1,7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млн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 – 23% жителей города) происходили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мобилизация участников и управление уличными акциями. Новые коммуникационные технологии позволили заменить традиционные СМИ и стать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агрегатором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новостей и политических требований. </w:t>
      </w:r>
    </w:p>
    <w:p w14:paraId="0000004D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Именно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соцмедиа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стали направляющим инструментом эмоциональной волны протестов в Гонконге. При этом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,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по сравнению с гонконгской «Революцией зонтиков» 2014 г.,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соцмедиа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-инструменты изменились: вместо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соцсетей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Twitter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Facebook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первый план вышли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мессенджеры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(программа для мгновенного обмена сообщениями через Интернет). Их преимущество состоит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использовании шифрования, значительно усложняющего идентификацию пользователей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4E" w14:textId="2107AB44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целом в Гонконге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реализован уникальный алгоритм цифрового сопровождения массовых акций</w:t>
      </w:r>
      <w:r>
        <w:rPr>
          <w:rFonts w:ascii="Times New Roman" w:eastAsia="Times New Roman" w:hAnsi="Times New Roman" w:cs="Times New Roman"/>
          <w:sz w:val="30"/>
          <w:szCs w:val="30"/>
        </w:rPr>
        <w:t>, который можно условно разделить на пять этапов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4F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первом этапе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идеи протестов обсуждались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анонимными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блогерами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интернет-форуме LIHKG, который насчитывает 120 тыс. участни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ков и позволяет фильтровать иностранцев и жителей материкового Китая за счет специального режима регистрации. Это обеспечивало определенную защиту от проникновения на электронную площадку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фейковых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аккаунтов китайских спецслужб.</w:t>
      </w:r>
    </w:p>
    <w:p w14:paraId="00000050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1" w:name="_17dp8vu" w:colFirst="0" w:colLast="0"/>
      <w:bookmarkEnd w:id="11"/>
      <w:r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втором этапе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«посеянные»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 форуме идеи подхватывались с помощью оппозиционных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-каналов, устраивающих массовую рассылку призывов с использованием фотографий, карикатур и иных дизайнерских методов. В качестве специального «шифра» протестующие при общении использовали образы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Винни Пуха и Пятачка, символизирующие главу Китая Си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Цзиньпина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главу администрации Гонконга Кэрри Лам.</w:t>
      </w:r>
    </w:p>
    <w:p w14:paraId="00000051" w14:textId="77777777" w:rsidR="002B37CA" w:rsidRDefault="00DB7EE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третьем этапе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использовались инструменты, обладающие большей надежностью и устойчивостью по отношению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к возможному блокированию сети Интернет. Наи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большее применение для координации протестной активности имели мобильные приложения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FireChat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AirDrop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работающие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 принципу «ячеистой сети»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функционирующие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даже в случае отключения мобильной связи, Интернета или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Wi-Fi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52" w14:textId="77777777" w:rsidR="002B37CA" w:rsidRDefault="00DB7E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четвертом этапе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после окончан</w:t>
      </w:r>
      <w:r>
        <w:rPr>
          <w:rFonts w:ascii="Times New Roman" w:eastAsia="Times New Roman" w:hAnsi="Times New Roman" w:cs="Times New Roman"/>
          <w:sz w:val="30"/>
          <w:szCs w:val="30"/>
        </w:rPr>
        <w:t>ия шагов по формированию охвата и инфраструктуры управления осуществлялся переход к прямому модерированию протеста и распределению ролей его участников. Для этого применялось специальное мобильное приложение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HKmap.live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), которое позволяет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отслеживать конц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ентрацию сил правопорядка,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корректировать маршруты и места акций.</w:t>
      </w:r>
    </w:p>
    <w:p w14:paraId="00000053" w14:textId="77777777" w:rsidR="002B37CA" w:rsidRDefault="00DB7E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пятом этапе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для оперативной фиксации событий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 xml:space="preserve">с одновременным вовлечением в процесс как можно большего количества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наблюдателей активно использовался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стрим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(онлайн-трансляция) в Интернете,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позволяющий добиться эффекта присутствия и транслировать фото- и видеоинформацию в массы до момента принятия властями мер по блокированию контента. </w:t>
      </w:r>
    </w:p>
    <w:p w14:paraId="00000054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качестве новой, успешно апробированной технологии использовался так называемый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цифровой экономический бо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йкот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рамках которого протестующие в соответствии с инструкциями организаторов переводили свои накопления и депозиты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криптовалюты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. В результате цены на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Bitcoin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местном рынке на 3-5% превысили его среднемировую стоимость.</w:t>
      </w:r>
    </w:p>
    <w:p w14:paraId="00000055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Протесты в Гонконге стали пр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имером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комплексного использования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технологий, а также разработки специальных алгоритмов, применяемых во многих странах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56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Пандемия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лишь ненадолго прервала «эпидемию» многотысячных политических протестов, охвативших только в 2019 году, кроме Гонк</w:t>
      </w:r>
      <w:r>
        <w:rPr>
          <w:rFonts w:ascii="Times New Roman" w:eastAsia="Times New Roman" w:hAnsi="Times New Roman" w:cs="Times New Roman"/>
          <w:sz w:val="30"/>
          <w:szCs w:val="30"/>
        </w:rPr>
        <w:t>онга, более полутора десятка стран, в том числе Францию, Испанию, Чили, Ливан, Венесуэлу, Ирак, Эквадор, Алжир, Судан, Боливию.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По мере ослабевания сковывающего эффекта COVID-19 протестная волна возвращается с новой силой, распространяясь, подобно вирусу, </w:t>
      </w:r>
      <w:r>
        <w:rPr>
          <w:rFonts w:ascii="Times New Roman" w:eastAsia="Times New Roman" w:hAnsi="Times New Roman" w:cs="Times New Roman"/>
          <w:sz w:val="30"/>
          <w:szCs w:val="30"/>
        </w:rPr>
        <w:t>и на другие страны, в том числе США.</w:t>
      </w:r>
    </w:p>
    <w:p w14:paraId="00000057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Американский пример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:  </w:t>
      </w:r>
    </w:p>
    <w:p w14:paraId="00000058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В США мирные протесты 2020 года против полицейского произвола оказались лишь поводом для разжигания антипрезидентских настроений. Многие протестующие превратились банальных мародеров и мошенников.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Спасаясь от них, часть магазинов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Apple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в разных городах США закрылась или отгородилась высокими стенами. Для легитимации погромщиков бенефициары американских протестов попытались смикшировать негативную ассоциативную привязку их действий, которые стали на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зывать не мародерством, а таким новомодным термином как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лутинг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, подразумевающим борьбу за справедливость. </w:t>
      </w:r>
    </w:p>
    <w:p w14:paraId="00000059" w14:textId="77777777" w:rsidR="002B37CA" w:rsidRDefault="002B3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000005C" w14:textId="77777777" w:rsidR="002B37CA" w:rsidRDefault="00DB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4. ТЕХНОЛОГИИ ДЕСТАБИЛИЗАЦИИ ОБЩЕСТВЕННО-ПОЛИТИЧЕСКИХ ПРОЦЕССОВ: БЕЛОРУССКИЙ КЕЙС</w:t>
      </w:r>
    </w:p>
    <w:p w14:paraId="0000005D" w14:textId="77777777" w:rsidR="002B37CA" w:rsidRDefault="002B3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5E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Объективный анализ электоральных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поствыборных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событий в Республике Беларусь в 2020 году демонстрирует, с одной стороны, заимствование технологий из известного перечня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шарповских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шаблонов, но с другой – отчетливую белорусскую специфику, выходящую за рамки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классических и апробированных подходов к реализации «цветных сценариев» в ряде государств. </w:t>
      </w:r>
    </w:p>
    <w:p w14:paraId="0000005F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Для понимания сути и механики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дестабилизационных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процессов в Республике Беларусь целесообразно провести их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пошаговый разбор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выделив ряд условных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этапов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60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Нулевой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(подготовительный) этап.</w:t>
      </w:r>
    </w:p>
    <w:p w14:paraId="00000061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Неудавшиеся попытки «цветных революций» 2006 и 2010 годов в совокупности с негативно воспринятым белорусами «украинским майданом» 2013–2014 годов привели к смене подходов зарубежных стратегов на белорусском направлении. Осуществлен переход от технологий «п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рямого действия» к методам «мягкой силы»: создание независимых общественных платформ, реализация условно неполитических проектов, обучающие мероприятия, создание сети альтернативных (при этом не радикальных)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медиаресурсов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62" w14:textId="1366D6EC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Активная фаза наращив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ания организационной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медийной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инфраструктуры протеста началась с 2017 года. Триггером послужили акции против Декрета № 3, распаковавшие дальнейшие процессы расширения социальной базы, географии и новых коммуникационных каналов белорусского протеста, в ча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стности, сеть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Ютуб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-каналов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Telegram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-каналов</w:t>
      </w:r>
      <w:r>
        <w:rPr>
          <w:rFonts w:ascii="Times New Roman" w:eastAsia="Times New Roman" w:hAnsi="Times New Roman" w:cs="Times New Roman"/>
          <w:sz w:val="30"/>
          <w:szCs w:val="30"/>
        </w:rPr>
        <w:t>. Параллельно формировались точечные очаги затяжного противостояния по линии «власть – общественные группы», ярким примером которого стал регулярный протест против строительства аккумулятор</w:t>
      </w:r>
      <w:r>
        <w:rPr>
          <w:rFonts w:ascii="Times New Roman" w:eastAsia="Times New Roman" w:hAnsi="Times New Roman" w:cs="Times New Roman"/>
          <w:sz w:val="30"/>
          <w:szCs w:val="30"/>
        </w:rPr>
        <w:t>ного завода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АйПауэр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» в СЭЗ «Брест»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0000063" w14:textId="05B1AB30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Первый (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апробационный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>) этап.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Парламентская кампания</w:t>
      </w:r>
    </w:p>
    <w:p w14:paraId="00000064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 старту парламентской избирательной кампании необходимые инструменты дестабилизации были сформированы и требовали точечной апробации накануне о</w:t>
      </w:r>
      <w:r>
        <w:rPr>
          <w:rFonts w:ascii="Times New Roman" w:eastAsia="Times New Roman" w:hAnsi="Times New Roman" w:cs="Times New Roman"/>
          <w:sz w:val="30"/>
          <w:szCs w:val="30"/>
        </w:rPr>
        <w:t>сновной кампании – президентской. Такой «обкаткой» стали:</w:t>
      </w:r>
    </w:p>
    <w:p w14:paraId="00000065" w14:textId="6B4FC63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во-первых, выстраивание сетевого принципа работы специализированных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Telegram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-каналов с выраженным распределением ролей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0000066" w14:textId="79C17964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во-вторых, отработка механизмов вывода аудитории в офлайн. Примером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служит попытка в предвыборный период вывода на площадь подписчиков наиболее популярного белорусского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Telegram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-канала NEXTA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14:paraId="00000067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в-третьих, апробация новых форм активности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офлайне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 Пилотным проектом выступил сформированный на период парламентской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кампании «Молодежный блок», использовавший широкий инструментарий цифровой самоорганизации (современный интернет-сайт,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Telegram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-канал, группы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), расширения социальной базы за счет эксплуатации «неполитической» повестки (тематика «отсрочек», «ра</w:t>
      </w:r>
      <w:r>
        <w:rPr>
          <w:rFonts w:ascii="Times New Roman" w:eastAsia="Times New Roman" w:hAnsi="Times New Roman" w:cs="Times New Roman"/>
          <w:sz w:val="30"/>
          <w:szCs w:val="30"/>
        </w:rPr>
        <w:t>спределения»,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легалайз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», «328» и т.д.), внедрения креативных форм уличной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демократии. После парламентских выборов проект был фактически свернут как отыгравший свою роль.</w:t>
      </w:r>
    </w:p>
    <w:p w14:paraId="00000068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Важной особенностью парламентской избирательной кампании стала мультиплицирующая роль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новых каналов и медиа, которые позволили, несмотря на непрофессионализм и низкую правовую грамотность большинства участников от оппозиции (наблюдателей, кандидатов, доверенных лиц и др.) транслировать в информационное пространство дискредитирующие власть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месседжи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69" w14:textId="0E5ADF6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цепочке «радикальные активисты → коммуникационные каналы → общественное мнение» </w:t>
      </w:r>
      <w:r>
        <w:rPr>
          <w:rFonts w:ascii="Times New Roman" w:eastAsia="Times New Roman" w:hAnsi="Times New Roman" w:cs="Times New Roman"/>
          <w:sz w:val="30"/>
          <w:szCs w:val="30"/>
        </w:rPr>
        <w:t>именно второй элемент сыграл определяющую роль при формировании альтернативного смыслового поля. Но за счет очевидной слабости первого элемента данный эф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фект не стал всеобъемлющим. </w:t>
      </w:r>
    </w:p>
    <w:p w14:paraId="0000006A" w14:textId="4F391F73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Второй (настроечный) этап.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Межвыборный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период.</w:t>
      </w:r>
    </w:p>
    <w:p w14:paraId="0000006B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период мнимого затишья после завершения парламентской избирательной кампании оппонентами власти проводилась глубинная работа над ошибками, которая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состояла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прежде всег</w:t>
      </w:r>
      <w:r>
        <w:rPr>
          <w:rFonts w:ascii="Times New Roman" w:eastAsia="Times New Roman" w:hAnsi="Times New Roman" w:cs="Times New Roman"/>
          <w:sz w:val="30"/>
          <w:szCs w:val="30"/>
        </w:rPr>
        <w:t>о в накачке потенциала лидеров, особенно из числа новых лиц, которыми стали:</w:t>
      </w:r>
    </w:p>
    <w:p w14:paraId="0000006C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во-первых,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блогер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С.Тихановский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активизировавший вояжи по регионам, эксплуатируя имидж «борца за права народа» (перехват повестки у Главы государства)</w:t>
      </w:r>
    </w:p>
    <w:p w14:paraId="0000006D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во-вторых – председатель пр</w:t>
      </w:r>
      <w:r>
        <w:rPr>
          <w:rFonts w:ascii="Times New Roman" w:eastAsia="Times New Roman" w:hAnsi="Times New Roman" w:cs="Times New Roman"/>
          <w:sz w:val="30"/>
          <w:szCs w:val="30"/>
        </w:rPr>
        <w:t>авления ОАО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Белгазпромбанк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В.Бабарико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существенно нарастивший узнаваемость за счет публикаций в СМИ на общественно-политическую тематику, а также сформировавший сеть подконтрольных виртуальных площадок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краудфандинговые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платформы, социальные сети и др.)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6E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Примечательно, что ни один, ни второй до «времени Ч» ни разу не заявили прямо о президентских амбициях. При этом отвлекающим маневром стала процедура «праймериз» по выборам «единого кандидата» от так называемой титульной оппозиции.</w:t>
      </w:r>
    </w:p>
    <w:p w14:paraId="0000006F" w14:textId="6DE0CC13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Параллельно в независи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мых СМИ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Telegram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-каналах шла кампания по дискредитации власти с акцентом на «недостаточность» мер по борьбе с COVID-19</w:t>
      </w:r>
      <w:r>
        <w:rPr>
          <w:rFonts w:ascii="Times New Roman" w:eastAsia="Times New Roman" w:hAnsi="Times New Roman" w:cs="Times New Roman"/>
          <w:sz w:val="30"/>
          <w:szCs w:val="30"/>
        </w:rPr>
        <w:t>. Апогеем стала информационная борьба с инициативой по проведению в Минске Парада в честь 75-летия Великой Победы.</w:t>
      </w:r>
    </w:p>
    <w:p w14:paraId="00000070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Таким обра</w:t>
      </w:r>
      <w:r>
        <w:rPr>
          <w:rFonts w:ascii="Times New Roman" w:eastAsia="Times New Roman" w:hAnsi="Times New Roman" w:cs="Times New Roman"/>
          <w:sz w:val="30"/>
          <w:szCs w:val="30"/>
        </w:rPr>
        <w:t>зом, в обществе культивировался запрос на новых лиц, которые бы не представляли ни власть, ни традиционную оппозицию.</w:t>
      </w:r>
    </w:p>
    <w:p w14:paraId="00000071" w14:textId="6401EFA2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Третий (стартовый) этап.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Официальное начало кампании</w:t>
      </w:r>
    </w:p>
    <w:p w14:paraId="00000072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Сенсационное для многих выдвижение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В.Цепкало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существенно оживило изначальн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 предсказуемую расстановку предвыборных сил, спровоцировав всплеск интереса к кампании со стороны обывателей. </w:t>
      </w:r>
    </w:p>
    <w:p w14:paraId="00000073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Новым эмоциональным триггером, отодвинувшим на второй план экс-директора ПВТ, стало формирование инициативной группы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В.Бабарико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которому удалос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ь, используя новейшие онлайн-технологии (социальные платформы,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Uber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др.), в рекордно сжатые сроки собрать более 9 тыс. сборщиков подписей [слайд 60]. </w:t>
      </w:r>
    </w:p>
    <w:p w14:paraId="00000074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Серию «неожиданных ходов» завершило появление в числе участников гонки четы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Тихановских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75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 итогам реги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страции инициативных групп Президенту противостояла широкая палитра альтернативных лидеров, что создавало иллюзию множественности выбора (не только известные оппозиционеры, но и новые «менеджеры», экс-чиновники, «бизнесмены», «народные трибуны» и т.п.). </w:t>
      </w:r>
    </w:p>
    <w:p w14:paraId="00000076" w14:textId="395307EC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Четвертый (технологичный) этап.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Сбор подписей.</w:t>
      </w:r>
    </w:p>
    <w:p w14:paraId="00000077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данном этапе избиратель стал объектом мощного одновременного воздействия различного рода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политтехнологических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решений, заимствованных из различных «революционных кейсов» (гонконгский, украинский,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прибалтийский, армянский, арабский и др.). Тактика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политтехнологического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микса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проявилась в следующих примерах:</w:t>
      </w:r>
    </w:p>
    <w:p w14:paraId="00000078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выстраивание очередей, в том числе за счет карусельного принципа (подписался – и снова «в хвост») – аналогия с прибалтийскими цепями солидарност</w:t>
      </w:r>
      <w:r>
        <w:rPr>
          <w:rFonts w:ascii="Times New Roman" w:eastAsia="Times New Roman" w:hAnsi="Times New Roman" w:cs="Times New Roman"/>
          <w:sz w:val="30"/>
          <w:szCs w:val="30"/>
        </w:rPr>
        <w:t>и;</w:t>
      </w:r>
    </w:p>
    <w:p w14:paraId="00000079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перформансы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по дискредитации образа Главы государства («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Стоп-таракан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» и пр.) – аналогия с гонконгскими технологиями обидного сравнения Председателя КНР с «Винни-пухом»;</w:t>
      </w:r>
    </w:p>
    <w:p w14:paraId="0000007A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гастроли по регионам (поездки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С.Тихановского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в поддержку выдвижения супруги) со сбор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ом многотысячных демонстраций – аналогия с «шагающим» по Армении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Н.Пашиняном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000007B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всплеск «революционного творчества» (гимны и «песни свободы», граффити, символика и др.) – аналогия с механикой прихода к власти польской «Солидарности» [слайд 62];</w:t>
      </w:r>
    </w:p>
    <w:p w14:paraId="0000007C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трансформация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фейков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мемы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(пресловутые 3 процента, «миллионы» на счетах семьи Президента и т.п.) – аналогия с «иракской пробиркой»;</w:t>
      </w:r>
    </w:p>
    <w:p w14:paraId="0000007D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данном этапе оппоненты власти использовали следующие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тактические преимущества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000007E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традиционная «фора» со стороны власти, по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сути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не проводившей полноценную публичную избирательную кампанию;</w:t>
      </w:r>
    </w:p>
    <w:p w14:paraId="0000007F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широкие возможности информационной работы с целевой аудиторией (через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Интернет-СМИ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, социальные сети,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Telegram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-каналы и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т.п.), что позволяло фактичес</w:t>
      </w:r>
      <w:r>
        <w:rPr>
          <w:rFonts w:ascii="Times New Roman" w:eastAsia="Times New Roman" w:hAnsi="Times New Roman" w:cs="Times New Roman"/>
          <w:sz w:val="30"/>
          <w:szCs w:val="30"/>
        </w:rPr>
        <w:t>ки проводить завуалированную досрочную агитацию;</w:t>
      </w:r>
    </w:p>
    <w:p w14:paraId="00000080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использование тактики «парада пикетов», позволяющей в одном месте сразу нескольким претендентам получить подписи избирателя.</w:t>
      </w:r>
    </w:p>
    <w:p w14:paraId="00000081" w14:textId="2A323E54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Пятый (шоу-политический) этап</w:t>
      </w:r>
      <w:r>
        <w:rPr>
          <w:rFonts w:ascii="Times New Roman" w:eastAsia="Times New Roman" w:hAnsi="Times New Roman" w:cs="Times New Roman"/>
          <w:sz w:val="30"/>
          <w:szCs w:val="30"/>
        </w:rPr>
        <w:t>. Период регистрации кандидатов и предвыбо</w:t>
      </w:r>
      <w:r>
        <w:rPr>
          <w:rFonts w:ascii="Times New Roman" w:eastAsia="Times New Roman" w:hAnsi="Times New Roman" w:cs="Times New Roman"/>
          <w:sz w:val="30"/>
          <w:szCs w:val="30"/>
        </w:rPr>
        <w:t>рной агитации.</w:t>
      </w:r>
    </w:p>
    <w:p w14:paraId="00000082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данном этапе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политтехнологический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винегрет дополнился методами и приемами шоу-политики,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выразившейся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в:</w:t>
      </w:r>
    </w:p>
    <w:p w14:paraId="00000083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создании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«объединенного штаба», воплотившегося в яркий и запоминающийся образ «женского трио» с соответствующими позитивными коннотаци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ями («воины Светы», «Любим,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можам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пераможам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» и т.п.);</w:t>
      </w:r>
    </w:p>
    <w:p w14:paraId="00000084" w14:textId="648DDCCD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парадном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шествии» участниц тройки по городам страны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 созданием праздничной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эйфорийной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атрибутики (песни, фонарики, радостные эмоции,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речевки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-заклинания и т.п.);</w:t>
      </w:r>
    </w:p>
    <w:p w14:paraId="00000085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массированном информационно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-психологическом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воздействии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на избирателя посредством СМИ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мессенджеров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в целях формирования предубеждения о «неизбежном падении» электоральной поддержки Главы государства.</w:t>
      </w:r>
    </w:p>
    <w:p w14:paraId="00000086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Показательной явилась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«война социологий», ставшей инструментом манипуляции общест</w:t>
      </w:r>
      <w:r>
        <w:rPr>
          <w:rFonts w:ascii="Times New Roman" w:eastAsia="Times New Roman" w:hAnsi="Times New Roman" w:cs="Times New Roman"/>
          <w:sz w:val="30"/>
          <w:szCs w:val="30"/>
        </w:rPr>
        <w:t>венным мнением и «якорения» в сознании населения заведомо провальных для власти результатов выборов.  Наглядными примерами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фейковой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социологии» (помимо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мема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 3 процентах) стали: </w:t>
      </w:r>
    </w:p>
    <w:p w14:paraId="00000087" w14:textId="77777777" w:rsidR="002B37CA" w:rsidRDefault="00DB7EE7">
      <w:pPr>
        <w:spacing w:after="0" w:line="280" w:lineRule="auto"/>
        <w:ind w:right="-28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20 июня 2020 года российская компания «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Tazeros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Global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Systems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>» якобы на осн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ове анализа 6,93 </w:t>
      </w:r>
      <w:proofErr w:type="gramStart"/>
      <w:r>
        <w:rPr>
          <w:rFonts w:ascii="Times New Roman" w:eastAsia="Times New Roman" w:hAnsi="Times New Roman" w:cs="Times New Roman"/>
          <w:i/>
          <w:sz w:val="30"/>
          <w:szCs w:val="30"/>
        </w:rPr>
        <w:t>млн</w:t>
      </w:r>
      <w:proofErr w:type="gram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белорусских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ip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-адресов опубликовала рейтинги лояльности кандидатов, согласно которым у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А.Лукашенко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оказалось 6,6%,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В.Бабарико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– 53%. </w:t>
      </w:r>
    </w:p>
    <w:p w14:paraId="00000088" w14:textId="77777777" w:rsidR="002B37CA" w:rsidRDefault="00DB7EE7">
      <w:pPr>
        <w:spacing w:after="0" w:line="280" w:lineRule="auto"/>
        <w:ind w:right="-28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С июня 2020 года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Telegram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>-канал «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Трыкатаж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>» со ссылкой на источники в Администрации Президента Республ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ики Беларусь еженедельно публикует «рейтинги» кандидатов. Последний пост на эту тему опубликован 21 июля, рейтинг главы государства обозначен на уровне 29%. </w:t>
      </w:r>
    </w:p>
    <w:p w14:paraId="00000089" w14:textId="77777777" w:rsidR="002B37CA" w:rsidRDefault="00DB7EE7">
      <w:pPr>
        <w:spacing w:after="0" w:line="280" w:lineRule="auto"/>
        <w:ind w:right="-28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22 июля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Telegram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-канал «Дилетант» со ссылкой на «NEXTA» разместил «результаты телефонного опроса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G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allup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», согласно которому у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А.Лукашенко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8,4%, у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С.Тихановской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– 65,4%.</w:t>
      </w:r>
    </w:p>
    <w:p w14:paraId="0000008A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В период голосования инструментами опровержения результатов выборов и данных экзит-поллов со стороны объединенного штаба должна была стать «цифровая» социология в виде интернет-платформ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ы «Голос»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(анонсированы возможности реализации «справедливого» цифрового голосования посредством использования ботов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Viber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Telegram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фотографий заполненного бюллетеня с двух сторон), создатели которой заявили о применении новых социологич</w:t>
      </w:r>
      <w:r>
        <w:rPr>
          <w:rFonts w:ascii="Times New Roman" w:eastAsia="Times New Roman" w:hAnsi="Times New Roman" w:cs="Times New Roman"/>
          <w:sz w:val="30"/>
          <w:szCs w:val="30"/>
        </w:rPr>
        <w:t>еских методик фиксации результатов голосования.</w:t>
      </w:r>
      <w:proofErr w:type="gramEnd"/>
    </w:p>
    <w:p w14:paraId="0000008B" w14:textId="315C9ED5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Шестой этап (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блиц-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криг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 Подведение итогов выборов. Попытка майданного сценария.</w:t>
      </w:r>
    </w:p>
    <w:p w14:paraId="0000008C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Сразу после выборов оппонентами предпринята попытка реализовать украинский сценарий. Замысел состоял в одномоментном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выведении на улицы белорусских городов десятков-сотен тысяч протестующих с последующим захватом административных зданий и культовых мест (для Минска – район Стелы «Минск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–г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ород-герой» с дальнейшим захватом Дворца Независимости) [слайд 66]. </w:t>
      </w:r>
    </w:p>
    <w:p w14:paraId="0000008D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Триггером прот</w:t>
      </w:r>
      <w:r>
        <w:rPr>
          <w:rFonts w:ascii="Times New Roman" w:eastAsia="Times New Roman" w:hAnsi="Times New Roman" w:cs="Times New Roman"/>
          <w:sz w:val="30"/>
          <w:szCs w:val="30"/>
        </w:rPr>
        <w:t>естов в день выборов стали опубликованные предварительные результаты голосования, воспринятые частью социума как «нереальные». Подавление сценария с использованием широкого арсенала сре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авоохранительных органов и частично отдельных подразделений Воор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уженных Сил создало «побочный эффект» эскалации противостояния с обеих сторон, вовлечения в конфликт новых участников. </w:t>
      </w:r>
    </w:p>
    <w:p w14:paraId="0000008E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Под влиянием развернутой информационной кампании протест против итогов выборов фактически переродился в протест против насилия. К нему п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рисоединились представители творческой интеллигенции, медики и учителя, ученые. Началась волна демаршей отдельных государственных служащих, сотрудников милиции, работников государственных СМИ и иных бюджетных организаций. </w:t>
      </w:r>
    </w:p>
    <w:p w14:paraId="0000008F" w14:textId="49461C9B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Седьмой (протестный) э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тап.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Поствыборная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турбулентность.</w:t>
      </w:r>
    </w:p>
    <w:p w14:paraId="00000090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Реакцией на жесткие действия силовиков стала неожиданная, разрывающая шаблон, смена тактики действий протестующих с насильственных на показательно мирные действия – технология «растопить лед».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Во многом здесь реализованы э</w:t>
      </w:r>
      <w:r>
        <w:rPr>
          <w:rFonts w:ascii="Times New Roman" w:eastAsia="Times New Roman" w:hAnsi="Times New Roman" w:cs="Times New Roman"/>
          <w:sz w:val="30"/>
          <w:szCs w:val="30"/>
        </w:rPr>
        <w:t>лементы армянского сценария («мирные многочисленные демонстрации, братания, цветы, белые одежды и т.п.). Предпринята попытка масштабирования протеста под предлогом «сакральных жертв» (американский сценарий).</w:t>
      </w:r>
    </w:p>
    <w:p w14:paraId="00000091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Вторая половина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поствыборной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недели и последующи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 выходные дни ознаменовались небывалой массовостью, масштабностью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разноформатностью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состоявшихся акций протеста. Множество каналов их инспирирования (использование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мессенджеров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цифровых платформ, информационной сети каналов) придало протестным инициати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вам иллюзию «обезличенной энергии», не зависящей от воли лидеров.  Здесь прослеживается аналогия с гонконгским кейсом. Показательным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примером стала отработка технологий одновременного сбора в обозначенных местах, спонтанной смены маршрутов движения колонн,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синхронных действий протестующих для пропуска спецтранспорта (машин скорой помощи и т.д.).</w:t>
      </w:r>
      <w:r>
        <w:rPr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Параллельно стало формироваться забастовочное движение, в которое последовательно вовлекались трудовые коллективы предприятий.</w:t>
      </w:r>
    </w:p>
    <w:p w14:paraId="00000092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Вопреки ожиданиям, что при выходе на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улицы 100-тысячных толп «власть рухнет» перечисленные действия, однако, не привели к ожидаемым оппозицией быстрым результатам. Безуспешность протестов приводит к разочарованию участников. </w:t>
      </w:r>
    </w:p>
    <w:p w14:paraId="00000093" w14:textId="21C44E3C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Восьмой (позиционный) этап.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Институализация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подрыв изн</w:t>
      </w:r>
      <w:r>
        <w:rPr>
          <w:rFonts w:ascii="Times New Roman" w:eastAsia="Times New Roman" w:hAnsi="Times New Roman" w:cs="Times New Roman"/>
          <w:sz w:val="30"/>
          <w:szCs w:val="30"/>
        </w:rPr>
        <w:t>утри.</w:t>
      </w:r>
    </w:p>
    <w:p w14:paraId="00000094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момента проигрыша на выборах оппоненты власти приступили к активному формированию альтернативных структур (Координационный совет) с претензией на легитимность. Лицом протеста стала убывшая в Вильнюс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С.Тихановская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позиционирующая себя в качестве «и</w:t>
      </w:r>
      <w:r>
        <w:rPr>
          <w:rFonts w:ascii="Times New Roman" w:eastAsia="Times New Roman" w:hAnsi="Times New Roman" w:cs="Times New Roman"/>
          <w:sz w:val="30"/>
          <w:szCs w:val="30"/>
        </w:rPr>
        <w:t>збранного президента Беларуси» (попытка разыграть венесуэльский кейс) [слайд].</w:t>
      </w:r>
    </w:p>
    <w:p w14:paraId="00000095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 сегодняшний день политическое противостояние получило затяжной характер. Протестующие, получившие моральную поддержку Запада, не признают итоги избирательной кампании, требую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 отставки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освобождения «политзаключенных», проведения новых выборов. При этом основной оперативной задачей оппонирующего лагеря на ближайший период выступает подрыв монолитности вертикали власти, силового блока, системы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госСМИ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 Ключевым элеме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нтом становится тактика высмеивания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десакрализация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власти (активно использовалась в Украине и Гонконге), формирующая основу для массового неповиновения.</w:t>
      </w:r>
    </w:p>
    <w:p w14:paraId="00000096" w14:textId="77777777" w:rsidR="002B37CA" w:rsidRDefault="002B3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98" w14:textId="77777777" w:rsidR="002B37CA" w:rsidRDefault="00DB7EE7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ЗАКЛЮЧЕНИЕ</w:t>
      </w:r>
    </w:p>
    <w:p w14:paraId="00000099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Таким образом, в Беларуси имеют место признаки не классической, а гибридной цветной революции,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сочетающая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в себе элементы буржуазных, пролетарских, цветных и сетевых форм протеста.</w:t>
      </w:r>
    </w:p>
    <w:p w14:paraId="0000009A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Относительно буржуазного элемента, необходимо отметить, что имело место пос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тепенное нарастание классовой сегрегации и противоречий – атрибутов классической буржуазной революции (увлечение доли среднего класса за счет мелких и средних предпринимателей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айтишников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с более высокой социальной мобильностью и свободных от дискурса па</w:t>
      </w:r>
      <w:r>
        <w:rPr>
          <w:rFonts w:ascii="Times New Roman" w:eastAsia="Times New Roman" w:hAnsi="Times New Roman" w:cs="Times New Roman"/>
          <w:sz w:val="30"/>
          <w:szCs w:val="30"/>
        </w:rPr>
        <w:t>тернализма).</w:t>
      </w:r>
    </w:p>
    <w:p w14:paraId="0000009B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Пролетарский элемент заключался в том, что активному протестному ядру удалось по касательной вовлечь рабочий класс. В частности, рабочие флагманов белорусской экономики: Минский тракторный, Минский автомобильный, Минский моторный,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Беларуськал</w:t>
      </w:r>
      <w:r>
        <w:rPr>
          <w:rFonts w:ascii="Times New Roman" w:eastAsia="Times New Roman" w:hAnsi="Times New Roman" w:cs="Times New Roman"/>
          <w:sz w:val="30"/>
          <w:szCs w:val="30"/>
        </w:rPr>
        <w:t>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»,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Белшина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», «Гродно Азот» и другие стали на волне политических требований устраивать забастовки. Данная картина ассоциируется не с городским образованным средним классом, сидящим, как известно, на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печеньках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от Сороса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Макфола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а, скорее, с ситуацией, </w:t>
      </w:r>
      <w:r>
        <w:rPr>
          <w:rFonts w:ascii="Times New Roman" w:eastAsia="Times New Roman" w:hAnsi="Times New Roman" w:cs="Times New Roman"/>
          <w:sz w:val="30"/>
          <w:szCs w:val="30"/>
        </w:rPr>
        <w:t>когда на сцену внезапно взошел Карл Маркс с «Капиталом» в руках.</w:t>
      </w:r>
    </w:p>
    <w:p w14:paraId="0000009C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Элементы цветной революции, связанные с внешней управляемостью и созданием искусственной политической электризации, реализовались посредством таких инструментов, как вертикально управляемые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>elegram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-каналы (такие как NEXTA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live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БГМ, Мая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краiна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Беларусь); финансовую «интервенцию» Еврокомиссии в размере 53 миллиона евро; подготовленные и управляемые боевые группы, такие как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околофутбольный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клуб МТЗ-РИПО, ультранационалисты, получившие опыт боев</w:t>
      </w:r>
      <w:r>
        <w:rPr>
          <w:rFonts w:ascii="Times New Roman" w:eastAsia="Times New Roman" w:hAnsi="Times New Roman" w:cs="Times New Roman"/>
          <w:sz w:val="30"/>
          <w:szCs w:val="30"/>
        </w:rPr>
        <w:t>ых действий в процессах украинского Майдана и прочие).</w:t>
      </w:r>
      <w:proofErr w:type="gramEnd"/>
    </w:p>
    <w:p w14:paraId="0000009D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Элементы децентрализованной сетевой самоорганизации «снизу» реализовывались при помощи региональных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Telegram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-каналов, фондов помощи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протестующим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таких как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By_help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BYSOL, платформы «ИМЕНА», организаций</w:t>
      </w:r>
      <w:r>
        <w:rPr>
          <w:rFonts w:ascii="Times New Roman" w:eastAsia="Times New Roman" w:hAnsi="Times New Roman" w:cs="Times New Roman"/>
          <w:sz w:val="30"/>
          <w:szCs w:val="30"/>
        </w:rPr>
        <w:t>, оказывающих услуги бесплатной медицинской помощи и т.д.).</w:t>
      </w:r>
    </w:p>
    <w:p w14:paraId="0000009E" w14:textId="77777777" w:rsidR="002B37CA" w:rsidRDefault="00DB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Таким образом, в отличие от прежних попыток реализации «цветных сценариев», которые в силу своей шаблонности блокировались относительно легко, «белорусский кейс» 2020 года» представляет собой спла</w:t>
      </w:r>
      <w:r>
        <w:rPr>
          <w:rFonts w:ascii="Times New Roman" w:eastAsia="Times New Roman" w:hAnsi="Times New Roman" w:cs="Times New Roman"/>
          <w:sz w:val="30"/>
          <w:szCs w:val="30"/>
        </w:rPr>
        <w:t>в из наиболее эффективных технологий дестабилизации, получивших апробацию в разных странах. Очевидна ставка на масштаб и длительность протестов, изматывание ресурсов системы реагирования. В этих условиях государству важно выработать комплексные подходы, по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зволяющие задействовать весь инструментарий работы с обществом, включая коммуникативные и информационные методы, выстраивание новой общественно-политической инфраструктуры, позволяющей направлять энергию социальных групп в позитивное русло. </w:t>
      </w:r>
    </w:p>
    <w:p w14:paraId="0000009F" w14:textId="77777777" w:rsidR="002B37CA" w:rsidRDefault="002B3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A0" w14:textId="02FA2B2B" w:rsidR="002B37CA" w:rsidRDefault="00DB7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 подг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отовлен Белорусским институтом стратегических исследований </w:t>
      </w:r>
    </w:p>
    <w:sectPr w:rsidR="002B37CA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7D07D" w14:textId="77777777" w:rsidR="00DB7EE7" w:rsidRDefault="00DB7EE7">
      <w:pPr>
        <w:spacing w:after="0" w:line="240" w:lineRule="auto"/>
      </w:pPr>
      <w:r>
        <w:separator/>
      </w:r>
    </w:p>
  </w:endnote>
  <w:endnote w:type="continuationSeparator" w:id="0">
    <w:p w14:paraId="233A2ABC" w14:textId="77777777" w:rsidR="00DB7EE7" w:rsidRDefault="00DB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69CE3" w14:textId="77777777" w:rsidR="00DB7EE7" w:rsidRDefault="00DB7EE7">
      <w:pPr>
        <w:spacing w:after="0" w:line="240" w:lineRule="auto"/>
      </w:pPr>
      <w:r>
        <w:separator/>
      </w:r>
    </w:p>
  </w:footnote>
  <w:footnote w:type="continuationSeparator" w:id="0">
    <w:p w14:paraId="228A81C1" w14:textId="77777777" w:rsidR="00DB7EE7" w:rsidRDefault="00DB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A1" w14:textId="77777777" w:rsidR="002B37CA" w:rsidRDefault="00DB7E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="005D7F73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F22FD3">
      <w:rPr>
        <w:rFonts w:ascii="Times New Roman" w:eastAsia="Times New Roman" w:hAnsi="Times New Roman" w:cs="Times New Roman"/>
        <w:noProof/>
        <w:color w:val="000000"/>
        <w:sz w:val="28"/>
        <w:szCs w:val="28"/>
      </w:rPr>
      <w:t>5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A2" w14:textId="77777777" w:rsidR="002B37CA" w:rsidRDefault="002B37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37CA"/>
    <w:rsid w:val="002B37CA"/>
    <w:rsid w:val="005D7F73"/>
    <w:rsid w:val="00DB7EE7"/>
    <w:rsid w:val="00F2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6100</Words>
  <Characters>34774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2020-10-14T06:46:00Z</dcterms:created>
  <dcterms:modified xsi:type="dcterms:W3CDTF">2020-10-14T06:50:00Z</dcterms:modified>
</cp:coreProperties>
</file>